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芜湖学院网络安全加固服务采购项目</w:t>
      </w:r>
      <w:r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  <w:t>报价单</w:t>
      </w:r>
    </w:p>
    <w:tbl>
      <w:tblPr>
        <w:tblStyle w:val="10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6150"/>
        <w:gridCol w:w="1242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46" w:type="dxa"/>
            <w:vAlign w:val="center"/>
          </w:tcPr>
          <w:p w14:paraId="4D2C3DA7">
            <w:pPr>
              <w:jc w:val="center"/>
              <w:rPr>
                <w:rFonts w:ascii="华文中宋" w:hAnsi="华文中宋" w:eastAsia="华文中宋" w:cs="Segoe UI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微软雅黑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50" w:type="dxa"/>
            <w:vAlign w:val="center"/>
          </w:tcPr>
          <w:p w14:paraId="03ABFAAC">
            <w:pPr>
              <w:jc w:val="center"/>
              <w:rPr>
                <w:rFonts w:ascii="华文中宋" w:hAnsi="华文中宋" w:eastAsia="华文中宋" w:cs="Segoe UI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Segoe UI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华文中宋" w:hAnsi="华文中宋" w:eastAsia="华文中宋" w:cs="微软雅黑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42" w:type="dxa"/>
            <w:vAlign w:val="center"/>
          </w:tcPr>
          <w:p w14:paraId="03B76A55">
            <w:pPr>
              <w:jc w:val="center"/>
              <w:rPr>
                <w:rFonts w:hint="eastAsia" w:ascii="华文中宋" w:hAnsi="华文中宋" w:eastAsia="华文中宋" w:cs="Segoe UI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Segoe UI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8" w:hRule="atLeast"/>
        </w:trPr>
        <w:tc>
          <w:tcPr>
            <w:tcW w:w="1046" w:type="dxa"/>
            <w:vAlign w:val="center"/>
          </w:tcPr>
          <w:p w14:paraId="294A4179">
            <w:pPr>
              <w:jc w:val="center"/>
              <w:rPr>
                <w:rFonts w:hint="eastAsia" w:ascii="Segoe UI" w:hAnsi="Segoe UI" w:eastAsia="宋体" w:cs="Segoe UI"/>
                <w:b/>
                <w:bCs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32"/>
              </w:rPr>
              <w:t>网络安全加固服务采购需求</w:t>
            </w:r>
          </w:p>
        </w:tc>
        <w:tc>
          <w:tcPr>
            <w:tcW w:w="6150" w:type="dxa"/>
            <w:vAlign w:val="center"/>
          </w:tcPr>
          <w:p w14:paraId="15D49A98">
            <w:pPr>
              <w:spacing w:line="240" w:lineRule="auto"/>
              <w:jc w:val="left"/>
              <w:rPr>
                <w:rFonts w:hint="eastAsia" w:ascii="Segoe UI" w:hAnsi="Segoe UI" w:eastAsia="宋体" w:cs="Segoe UI"/>
                <w:b/>
                <w:bCs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Segoe UI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主要内容包括：</w:t>
            </w:r>
          </w:p>
          <w:p w14:paraId="00C387DD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32"/>
              </w:rPr>
              <w:t xml:space="preserve">1 </w:t>
            </w:r>
            <w:r>
              <w:rPr>
                <w:rFonts w:hint="eastAsia"/>
                <w:sz w:val="21"/>
                <w:szCs w:val="21"/>
              </w:rPr>
              <w:t>边界防护与威胁清零（防通报）</w:t>
            </w:r>
          </w:p>
          <w:p w14:paraId="68125498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针对挖矿、勒索病毒及恶意域名访问风险，在校园网出口部署防通报安全防护平台。</w:t>
            </w:r>
          </w:p>
          <w:p w14:paraId="7CEB4492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一体化防护：内置入侵防御、病毒过滤、僵尸网络及安全DNS引擎，实时清洗异常流量。</w:t>
            </w:r>
          </w:p>
          <w:p w14:paraId="42ECBF0B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联动处置：建立APT预警监测机制，一旦检测到失陷主机（如挖矿行为），自动联动边界防火墙下发黑名单，秒级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阻断源IP上网权限，形成“发现即阻断”的闭环。</w:t>
            </w:r>
          </w:p>
          <w:p w14:paraId="4F53D4B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重保模式：支持重大活动期间一键开启高强度防护，自动加载最新威胁特征库。</w:t>
            </w:r>
          </w:p>
          <w:p w14:paraId="145E56FB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 行为审计与合规管控（防翻墙）</w:t>
            </w:r>
          </w:p>
          <w:p w14:paraId="642979EF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在出口区域部署防翻墙安全审计控制平台，强化意识形态安全。</w:t>
            </w:r>
          </w:p>
          <w:p w14:paraId="431F0D94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精准识别：利用专用引擎深度识别ShadowSocks、Trojan等加密翻墙工具及非法代理软件，实施精准阻断。</w:t>
            </w:r>
          </w:p>
          <w:p w14:paraId="13F33AB0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实名溯源：联动现网认证系统，将网络行为与师生真实身份（账号、MAC）绑定，确保违规事件责任到人。</w:t>
            </w:r>
          </w:p>
          <w:p w14:paraId="1E351F87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日志留存：自动存储不少于6个月的上网日志，满足《网络安全法》监管要求。</w:t>
            </w:r>
          </w:p>
          <w:p w14:paraId="38B90C83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 内网纵深防御与漏洞治理（清隐患）</w:t>
            </w:r>
          </w:p>
          <w:p w14:paraId="1A33FB6A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变被动运维为主动服务，定期开展漏洞扫描与渗透测试。</w:t>
            </w:r>
          </w:p>
          <w:p w14:paraId="2A2D1572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全面体检：每年对主机、数据库、Web应用及网络设备进行全量漏洞扫描，覆盖OWASP Top 10风险及弱口令问题。</w:t>
            </w:r>
          </w:p>
          <w:p w14:paraId="3BC4D9C6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模拟攻击：通过人工渗透测试模拟黑客路径，挖掘逻辑漏洞与深层隐患，提供定制化加固建议。</w:t>
            </w:r>
          </w:p>
          <w:p w14:paraId="2BDFE6E8">
            <w:pPr>
              <w:spacing w:line="240" w:lineRule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闭环整改：建立“扫描-加固-复测”机制，协助修复高危漏洞，消除内网跳板风险。</w:t>
            </w:r>
          </w:p>
        </w:tc>
        <w:tc>
          <w:tcPr>
            <w:tcW w:w="1242" w:type="dxa"/>
            <w:vAlign w:val="center"/>
          </w:tcPr>
          <w:p w14:paraId="273D56C5">
            <w:pPr>
              <w:jc w:val="center"/>
              <w:rPr>
                <w:rFonts w:hint="default" w:ascii="Segoe UI" w:hAnsi="Segoe UI" w:eastAsia="宋体" w:cs="Segoe UI"/>
                <w:b/>
                <w:bCs/>
                <w:color w:val="000000" w:themeColor="text1"/>
                <w:kern w:val="0"/>
                <w:sz w:val="27"/>
                <w:szCs w:val="27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2208F4">
      <w:pPr>
        <w:jc w:val="left"/>
        <w:rPr>
          <w:rFonts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注：以上报价含人工、税等一切费用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。</w:t>
      </w:r>
    </w:p>
    <w:p w14:paraId="7B194330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0B8885B3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6BDA"/>
    <w:rsid w:val="0385269D"/>
    <w:rsid w:val="0CB61E7A"/>
    <w:rsid w:val="0CCF42BD"/>
    <w:rsid w:val="12B63F3E"/>
    <w:rsid w:val="15C90DDA"/>
    <w:rsid w:val="1F1F1700"/>
    <w:rsid w:val="1F824574"/>
    <w:rsid w:val="1F8E70C9"/>
    <w:rsid w:val="2B54704F"/>
    <w:rsid w:val="35E631A7"/>
    <w:rsid w:val="36507D5B"/>
    <w:rsid w:val="370A1D12"/>
    <w:rsid w:val="37931175"/>
    <w:rsid w:val="3C135F7F"/>
    <w:rsid w:val="424630E4"/>
    <w:rsid w:val="456248B0"/>
    <w:rsid w:val="4A631737"/>
    <w:rsid w:val="4D082A5A"/>
    <w:rsid w:val="4F700A9A"/>
    <w:rsid w:val="51D53C5B"/>
    <w:rsid w:val="542C4FE2"/>
    <w:rsid w:val="57727E8B"/>
    <w:rsid w:val="5F3317E9"/>
    <w:rsid w:val="644749CE"/>
    <w:rsid w:val="65670626"/>
    <w:rsid w:val="672B6CFB"/>
    <w:rsid w:val="6784259F"/>
    <w:rsid w:val="67B15418"/>
    <w:rsid w:val="67E95D87"/>
    <w:rsid w:val="6C6B5185"/>
    <w:rsid w:val="6FE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basedOn w:val="1"/>
    <w:next w:val="1"/>
    <w:qFormat/>
    <w:uiPriority w:val="0"/>
    <w:pPr>
      <w:keepNext/>
      <w:widowControl/>
      <w:adjustRightInd/>
      <w:spacing w:before="50" w:beforeLines="50" w:after="50" w:afterLines="50"/>
      <w:ind w:left="425" w:right="100" w:rightChars="100"/>
      <w:jc w:val="left"/>
      <w:textAlignment w:val="auto"/>
      <w:outlineLvl w:val="2"/>
    </w:pPr>
    <w:rPr>
      <w:rFonts w:ascii="微软雅黑" w:hAnsi="微软雅黑" w:cs="Arial"/>
      <w:b/>
      <w:bCs/>
      <w:color w:val="000000"/>
      <w:kern w:val="1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Times New Roman"/>
      <w:kern w:val="0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正文"/>
    <w:basedOn w:val="1"/>
    <w:qFormat/>
    <w:uiPriority w:val="0"/>
    <w:pPr>
      <w:adjustRightInd/>
      <w:textAlignment w:val="auto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490</Characters>
  <Lines>0</Lines>
  <Paragraphs>0</Paragraphs>
  <TotalTime>0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2025-07-28T08:07:00Z</dcterms:created>
  <dc:creator>杨利辉</dc:creator>
  <cp:lastModifiedBy>欣辰爹</cp:lastModifiedBy>
  <dcterms:modified xsi:type="dcterms:W3CDTF">2026-03-02T08:16:40Z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D5D7C18EB66B4F2BA09FB57573D2A3B6_13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